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C4" w:rsidRDefault="00E96EC9" w:rsidP="00D05EC4">
      <w:pPr>
        <w:pStyle w:val="Sinespaciado"/>
        <w:spacing w:line="200" w:lineRule="atLeast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35.3pt;width:40.85pt;height:48.75pt;z-index:-251658752;mso-wrap-distance-left:9.05pt;mso-wrap-distance-right:9.05pt;mso-position-horizontal-relative:text;mso-position-vertical-relative:text" filled="t">
            <v:fill color2="black"/>
            <v:imagedata r:id="rId7" o:title=""/>
          </v:shape>
          <o:OLEObject Type="Embed" ProgID="Imagen" ShapeID="_x0000_s1026" DrawAspect="Content" ObjectID="_1582623731" r:id="rId8"/>
        </w:object>
      </w:r>
    </w:p>
    <w:p w:rsidR="00D05EC4" w:rsidRDefault="00D05EC4" w:rsidP="00D05EC4">
      <w:pPr>
        <w:pStyle w:val="Sinespaciado"/>
        <w:spacing w:line="200" w:lineRule="atLeast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CONSEJO DE LA ADMINISTRACION PROVINCIAL</w:t>
      </w:r>
    </w:p>
    <w:p w:rsidR="00D05EC4" w:rsidRDefault="00D05EC4" w:rsidP="00D05EC4">
      <w:pPr>
        <w:pStyle w:val="Sinespaciado"/>
        <w:spacing w:line="200" w:lineRule="atLeast"/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PINAR DEL RIO</w:t>
      </w:r>
    </w:p>
    <w:p w:rsidR="00D05EC4" w:rsidRDefault="00D05EC4" w:rsidP="00D05EC4">
      <w:pPr>
        <w:pStyle w:val="Sinespaciado"/>
        <w:spacing w:line="200" w:lineRule="atLeast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05EC4" w:rsidRDefault="00D05EC4" w:rsidP="00D05EC4">
      <w:pPr>
        <w:pStyle w:val="Sinespaciado"/>
        <w:spacing w:line="200" w:lineRule="atLeast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D05EC4" w:rsidRDefault="00D05EC4" w:rsidP="00D05EC4">
      <w:pPr>
        <w:pStyle w:val="Sinespaciado"/>
        <w:spacing w:line="200" w:lineRule="atLeast"/>
        <w:jc w:val="both"/>
        <w:rPr>
          <w:rFonts w:ascii="Arial" w:hAnsi="Arial" w:cs="Arial"/>
          <w:b/>
          <w:sz w:val="24"/>
          <w:szCs w:val="24"/>
          <w:u w:val="single"/>
          <w:lang w:val="es-ES"/>
        </w:rPr>
      </w:pPr>
      <w:r>
        <w:rPr>
          <w:rFonts w:ascii="Arial" w:hAnsi="Arial" w:cs="Arial"/>
          <w:b/>
          <w:caps/>
          <w:sz w:val="24"/>
          <w:szCs w:val="24"/>
          <w:u w:val="single"/>
          <w:lang w:val="es-ES"/>
        </w:rPr>
        <w:t>Procedimiento para las visitas integrales de la Asamblea Provincial del Poder Popular y el CAP a la base (CAMs Direcciones Administrativas), durante el  año 20</w:t>
      </w:r>
      <w:r w:rsidR="00AB765D">
        <w:rPr>
          <w:rFonts w:ascii="Arial" w:hAnsi="Arial" w:cs="Arial"/>
          <w:b/>
          <w:caps/>
          <w:sz w:val="24"/>
          <w:szCs w:val="24"/>
          <w:u w:val="single"/>
          <w:lang w:val="es-ES"/>
        </w:rPr>
        <w:t>17</w:t>
      </w:r>
      <w:r>
        <w:rPr>
          <w:rFonts w:ascii="Arial" w:hAnsi="Arial" w:cs="Arial"/>
          <w:b/>
          <w:caps/>
          <w:sz w:val="24"/>
          <w:szCs w:val="24"/>
          <w:u w:val="single"/>
          <w:lang w:val="es-ES"/>
        </w:rPr>
        <w:t>.</w:t>
      </w:r>
    </w:p>
    <w:p w:rsidR="00D05EC4" w:rsidRDefault="00D05EC4" w:rsidP="00D05EC4">
      <w:pPr>
        <w:pStyle w:val="Sinespaciado"/>
        <w:spacing w:line="200" w:lineRule="atLeast"/>
        <w:rPr>
          <w:rFonts w:ascii="Arial" w:hAnsi="Arial" w:cs="Arial"/>
          <w:b/>
          <w:sz w:val="24"/>
          <w:szCs w:val="24"/>
          <w:u w:val="single"/>
          <w:lang w:val="es-ES"/>
        </w:rPr>
      </w:pPr>
    </w:p>
    <w:p w:rsidR="00D05EC4" w:rsidRDefault="00D05EC4" w:rsidP="00D05EC4">
      <w:pPr>
        <w:pStyle w:val="Sinespaciado"/>
        <w:numPr>
          <w:ilvl w:val="0"/>
          <w:numId w:val="2"/>
        </w:numPr>
        <w:spacing w:line="200" w:lineRule="atLeast"/>
        <w:rPr>
          <w:rFonts w:ascii="Arial" w:hAnsi="Arial" w:cs="Arial"/>
          <w:sz w:val="24"/>
          <w:szCs w:val="24"/>
          <w:u w:val="double"/>
          <w:lang w:val="es-ES"/>
        </w:rPr>
      </w:pPr>
      <w:r>
        <w:rPr>
          <w:rFonts w:ascii="Arial" w:hAnsi="Arial" w:cs="Arial"/>
          <w:b/>
          <w:caps/>
          <w:sz w:val="24"/>
          <w:szCs w:val="24"/>
          <w:u w:val="double"/>
          <w:lang w:val="es-ES"/>
        </w:rPr>
        <w:t>Objetivos</w:t>
      </w:r>
    </w:p>
    <w:p w:rsidR="00D05EC4" w:rsidRDefault="00D05EC4" w:rsidP="00D05EC4">
      <w:pPr>
        <w:pStyle w:val="Sinespaciado"/>
        <w:spacing w:line="200" w:lineRule="atLeast"/>
        <w:rPr>
          <w:rFonts w:ascii="Arial" w:hAnsi="Arial" w:cs="Arial"/>
          <w:sz w:val="24"/>
          <w:szCs w:val="24"/>
          <w:u w:val="double"/>
          <w:lang w:val="es-ES"/>
        </w:rPr>
      </w:pPr>
    </w:p>
    <w:p w:rsidR="00D05EC4" w:rsidRDefault="00D05EC4" w:rsidP="00D05EC4">
      <w:pPr>
        <w:pStyle w:val="Sinespaciado"/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Consolidar  un sistema de trabajo, que responda a las exigencias actuales en la organización y planificación de los controles de manera integrada,  permitiendo dar cumplimiento a los acuerdos y resoluciones aprobadas por el VI</w:t>
      </w:r>
      <w:r w:rsidR="00AB765D">
        <w:rPr>
          <w:rFonts w:ascii="Arial" w:hAnsi="Arial" w:cs="Arial"/>
          <w:sz w:val="24"/>
          <w:szCs w:val="24"/>
          <w:lang w:val="es-ES"/>
        </w:rPr>
        <w:t>I</w:t>
      </w:r>
      <w:r>
        <w:rPr>
          <w:rFonts w:ascii="Arial" w:hAnsi="Arial" w:cs="Arial"/>
          <w:sz w:val="24"/>
          <w:szCs w:val="24"/>
          <w:lang w:val="es-ES"/>
        </w:rPr>
        <w:t xml:space="preserve"> Congreso del Partido Comunista de Cuba, las decisiones de la Asamblea Nacional del Poder Popular, el Consejo de Ministros, así como la actualización de los Planes de la Economía.</w:t>
      </w:r>
    </w:p>
    <w:p w:rsidR="00D05EC4" w:rsidRDefault="00D05EC4" w:rsidP="00D05EC4">
      <w:pPr>
        <w:pStyle w:val="Sinespaciado"/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Evaluar el cumplimiento de los objetivos de trabajo de la Asamblea y el Consejo de la Administración Municipal y las Entidades, para el año en curso, sobre la base de los criterios de medida aprobados.</w:t>
      </w:r>
    </w:p>
    <w:p w:rsidR="00D05EC4" w:rsidRDefault="00D05EC4" w:rsidP="00D05EC4">
      <w:pPr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numPr>
          <w:ilvl w:val="0"/>
          <w:numId w:val="2"/>
        </w:numPr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caps/>
          <w:sz w:val="24"/>
          <w:szCs w:val="24"/>
          <w:u w:val="double"/>
          <w:lang w:val="es-ES"/>
        </w:rPr>
        <w:t>Alcance</w:t>
      </w:r>
    </w:p>
    <w:p w:rsidR="00D05EC4" w:rsidRDefault="00D05EC4" w:rsidP="00D05EC4">
      <w:pPr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Comprende las unidades organizativas subordinadas o adscriptas,  Presidentes de Asambleas, Vicepresidentes, Secretarios, Presidentes de Consejos Populares, Delegados y a todos los Directores con sus Consejos de Dirección, además a otros funcionarios, Departamento y Oficinas del Sistema del Poder Popular y Direcciones que no son de la subordinación, pero tributan a los objetivos del territorio y la provincia</w:t>
      </w:r>
    </w:p>
    <w:p w:rsidR="00D05EC4" w:rsidRDefault="00D05EC4" w:rsidP="00D05EC4">
      <w:pPr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numPr>
          <w:ilvl w:val="0"/>
          <w:numId w:val="2"/>
        </w:numPr>
        <w:spacing w:after="0" w:line="200" w:lineRule="atLeast"/>
        <w:jc w:val="both"/>
        <w:rPr>
          <w:rFonts w:ascii="Arial" w:hAnsi="Arial" w:cs="Arial"/>
          <w:b/>
          <w:caps/>
          <w:sz w:val="24"/>
          <w:szCs w:val="24"/>
          <w:u w:val="double"/>
          <w:lang w:val="es-ES"/>
        </w:rPr>
      </w:pPr>
      <w:r>
        <w:rPr>
          <w:rFonts w:ascii="Arial" w:hAnsi="Arial" w:cs="Arial"/>
          <w:b/>
          <w:caps/>
          <w:sz w:val="24"/>
          <w:szCs w:val="24"/>
          <w:u w:val="double"/>
          <w:lang w:val="es-ES"/>
        </w:rPr>
        <w:t>Referencias</w:t>
      </w:r>
    </w:p>
    <w:p w:rsidR="00D05EC4" w:rsidRDefault="00D05EC4" w:rsidP="00D05EC4">
      <w:pPr>
        <w:spacing w:after="0" w:line="200" w:lineRule="atLeast"/>
        <w:jc w:val="both"/>
        <w:rPr>
          <w:rFonts w:ascii="Arial" w:hAnsi="Arial" w:cs="Arial"/>
          <w:b/>
          <w:caps/>
          <w:sz w:val="24"/>
          <w:szCs w:val="24"/>
          <w:u w:val="double"/>
          <w:lang w:val="es-ES"/>
        </w:rPr>
      </w:pPr>
    </w:p>
    <w:p w:rsidR="00D05EC4" w:rsidRDefault="00D05EC4" w:rsidP="00D05EC4">
      <w:pPr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guía y el plan de control  que se utilizará durante las visitas, contará con la aprobación del Presidente y se aplic</w:t>
      </w:r>
      <w:r w:rsidR="00AB765D">
        <w:rPr>
          <w:rFonts w:ascii="Arial" w:hAnsi="Arial" w:cs="Arial"/>
          <w:sz w:val="24"/>
          <w:szCs w:val="24"/>
          <w:lang w:val="es-ES"/>
        </w:rPr>
        <w:t>ará a partir de febrero del 2017</w:t>
      </w:r>
      <w:r>
        <w:rPr>
          <w:rFonts w:ascii="Arial" w:hAnsi="Arial" w:cs="Arial"/>
          <w:sz w:val="24"/>
          <w:szCs w:val="24"/>
          <w:lang w:val="es-ES"/>
        </w:rPr>
        <w:t>, asegurándonos previamente que sea del conocimiento de los controlados.</w:t>
      </w:r>
    </w:p>
    <w:p w:rsidR="00D05EC4" w:rsidRDefault="00D05EC4" w:rsidP="00D05EC4">
      <w:pPr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numPr>
          <w:ilvl w:val="0"/>
          <w:numId w:val="3"/>
        </w:numPr>
        <w:tabs>
          <w:tab w:val="left" w:pos="567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Resultará  objeto de control los planes, programas, normas, disposiciones legales y procedimientos que regulan el cumplimiento de las funciones estatales, u objeto social definidos.</w:t>
      </w:r>
    </w:p>
    <w:p w:rsidR="00D05EC4" w:rsidRDefault="00D05EC4" w:rsidP="00D05EC4">
      <w:pPr>
        <w:tabs>
          <w:tab w:val="left" w:pos="567"/>
        </w:tabs>
        <w:spacing w:after="0" w:line="20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numPr>
          <w:ilvl w:val="0"/>
          <w:numId w:val="3"/>
        </w:numPr>
        <w:spacing w:line="200" w:lineRule="atLeast"/>
        <w:jc w:val="both"/>
        <w:rPr>
          <w:rFonts w:ascii="Arial" w:eastAsia="Mangal" w:hAnsi="Arial" w:cs="Mangal"/>
          <w:color w:val="0D0D0D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Se efectuarán  dos visitas anuales a  los municipios, una de ellas con la intención de un</w:t>
      </w:r>
      <w:r>
        <w:rPr>
          <w:rFonts w:ascii="Arial" w:hAnsi="Arial" w:cs="Calibri"/>
          <w:color w:val="0D0D0D"/>
          <w:sz w:val="20"/>
          <w:szCs w:val="20"/>
          <w:lang w:val="es-ES"/>
        </w:rPr>
        <w:t xml:space="preserve"> </w:t>
      </w:r>
      <w:r>
        <w:rPr>
          <w:rFonts w:ascii="Arial" w:hAnsi="Arial" w:cs="Calibri"/>
          <w:color w:val="0D0D0D"/>
          <w:sz w:val="24"/>
          <w:szCs w:val="24"/>
          <w:lang w:val="es-ES"/>
        </w:rPr>
        <w:t xml:space="preserve">Control Funcional de la Dirección de la Asamblea y el </w:t>
      </w:r>
      <w:r>
        <w:rPr>
          <w:rFonts w:ascii="Arial" w:eastAsia="Mangal" w:hAnsi="Arial" w:cs="Mangal"/>
          <w:color w:val="0D0D0D"/>
          <w:sz w:val="24"/>
          <w:szCs w:val="24"/>
          <w:lang w:val="es-ES"/>
        </w:rPr>
        <w:t>Consejo de la Administración con una duración de tres días  consecutivos y cuatro meses después realizaremos una visita de supervisión de un día de trabajo.</w:t>
      </w:r>
    </w:p>
    <w:p w:rsidR="00D05EC4" w:rsidRDefault="00D05EC4" w:rsidP="00D05EC4">
      <w:pPr>
        <w:numPr>
          <w:ilvl w:val="0"/>
          <w:numId w:val="3"/>
        </w:numPr>
        <w:spacing w:line="200" w:lineRule="atLeast"/>
        <w:jc w:val="both"/>
        <w:rPr>
          <w:rFonts w:ascii="Arial" w:eastAsia="Mangal" w:hAnsi="Arial" w:cs="Arial"/>
          <w:color w:val="0D0D0D"/>
          <w:sz w:val="24"/>
          <w:szCs w:val="24"/>
          <w:lang w:val="es-ES"/>
        </w:rPr>
      </w:pPr>
      <w:r>
        <w:rPr>
          <w:rFonts w:ascii="Arial" w:eastAsia="Mangal" w:hAnsi="Arial" w:cs="Mangal"/>
          <w:color w:val="0D0D0D"/>
          <w:sz w:val="24"/>
          <w:szCs w:val="24"/>
          <w:lang w:val="es-ES"/>
        </w:rPr>
        <w:t xml:space="preserve">Con relación a las Direcciones Provinciales de subordinación, se efectuarán dos vistas anuales, una de un </w:t>
      </w:r>
      <w:r>
        <w:rPr>
          <w:rFonts w:ascii="Arial" w:hAnsi="Arial" w:cs="Calibri"/>
          <w:color w:val="0D0D0D"/>
          <w:sz w:val="24"/>
          <w:szCs w:val="24"/>
          <w:lang w:val="es-ES"/>
        </w:rPr>
        <w:t xml:space="preserve">Control Funcional del </w:t>
      </w:r>
      <w:r>
        <w:rPr>
          <w:rFonts w:ascii="Arial" w:eastAsia="Mangal" w:hAnsi="Arial" w:cs="Mangal"/>
          <w:color w:val="0D0D0D"/>
          <w:sz w:val="24"/>
          <w:szCs w:val="24"/>
          <w:lang w:val="es-ES"/>
        </w:rPr>
        <w:lastRenderedPageBreak/>
        <w:t>Consejo de la Administración con una duración de dos días  consecutivos y cuatro meses después realizaremos una visita de supervisión de un día de trabajo.</w:t>
      </w:r>
    </w:p>
    <w:p w:rsidR="00D05EC4" w:rsidRDefault="00D05EC4" w:rsidP="00D05EC4">
      <w:pPr>
        <w:numPr>
          <w:ilvl w:val="0"/>
          <w:numId w:val="3"/>
        </w:numPr>
        <w:spacing w:line="200" w:lineRule="atLeast"/>
        <w:jc w:val="both"/>
        <w:rPr>
          <w:rFonts w:ascii="Arial" w:eastAsia="Mangal" w:hAnsi="Arial" w:cs="Mangal"/>
          <w:color w:val="0D0D0D"/>
          <w:sz w:val="24"/>
          <w:szCs w:val="24"/>
          <w:lang w:val="es-ES"/>
        </w:rPr>
      </w:pPr>
      <w:r>
        <w:rPr>
          <w:rFonts w:ascii="Arial" w:eastAsia="Mangal" w:hAnsi="Arial" w:cs="Arial"/>
          <w:color w:val="0D0D0D"/>
          <w:sz w:val="24"/>
          <w:szCs w:val="24"/>
          <w:lang w:val="es-ES"/>
        </w:rPr>
        <w:t xml:space="preserve">Se organizarán, por las secretarías, los grupos de trabajo para que no interfieran con las funciones de los homólogos, definiendo el día en que se realizaran los diferentes controles o supervisiones, a partir de la propuesta del  plan de control anual que se anexa al modelo. </w:t>
      </w:r>
    </w:p>
    <w:p w:rsidR="00D05EC4" w:rsidRDefault="00D05EC4" w:rsidP="00D05EC4">
      <w:pPr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eastAsia="Mangal" w:hAnsi="Arial" w:cs="Mangal"/>
          <w:color w:val="0D0D0D"/>
          <w:sz w:val="24"/>
          <w:szCs w:val="24"/>
          <w:lang w:val="es-ES"/>
        </w:rPr>
        <w:t>La actual propuesta de trabajo tiene el propósito de lograr una mirada integradora del municipio y las direcciones, optimizando tiempo, recursos y</w:t>
      </w:r>
      <w:r>
        <w:rPr>
          <w:rFonts w:ascii="Arial" w:eastAsia="Mangal" w:hAnsi="Arial" w:cs="Arial"/>
          <w:color w:val="0D0D0D"/>
          <w:sz w:val="24"/>
          <w:szCs w:val="24"/>
          <w:lang w:val="es-ES"/>
        </w:rPr>
        <w:t xml:space="preserve"> no afectando la dinámica propia de entidades ni consejos populares, el consenso  previo evitará la  coincidencia de las fechas propuestas con procesos fundamentales,  y con Auditorias o Controles Fiscales. </w:t>
      </w:r>
    </w:p>
    <w:p w:rsidR="00D05EC4" w:rsidRDefault="00D05EC4" w:rsidP="00D05EC4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Participan en las visitas planificadas, las Comisiones Permanentes de la Asamblea Provincial, ambas Secretarías, con sus equipos de trabajo, los vicepresidentes con los Organismos Globales y demás direcciones provinciales que se consideren necesarias para el control al territorio y las direcciones, departamentos y oficinas de la Sede del Poder Popular Provincial, (Seguridad y Protección, Fórum de Ciencias y Técnica, Atención a combatientes,  Plan Turquino, Cuadro, Dependencia Interna y Especialistas que se considere entrenar, el día previsto para la visita o con anterioridad, según la planificación concebida en el Plan de trabajo anual.</w:t>
      </w:r>
    </w:p>
    <w:p w:rsidR="00D05EC4" w:rsidRDefault="00D05EC4" w:rsidP="00D05EC4">
      <w:pPr>
        <w:pStyle w:val="Prrafodelista"/>
        <w:spacing w:line="200" w:lineRule="atLeast"/>
        <w:ind w:left="284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método fundamental para el desarrollo de la visita es el intercambio con  la mayor cantidad de población y colectivos de trabajadores posible, a fin de comprobar el cumplimiento de los objetivos de trabajo y de las indicaciones en las entidades del territorio, así como su impacto en los objetivos trazados por la provincia. </w:t>
      </w:r>
    </w:p>
    <w:p w:rsidR="00D05EC4" w:rsidRDefault="00D05EC4" w:rsidP="00D05EC4">
      <w:pPr>
        <w:pStyle w:val="Prrafodelista"/>
        <w:spacing w:line="200" w:lineRule="atLeast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visita sorpresiva en horario nocturno se ejecutará en fecha no necesariamente coincidente con los controles planificados en el plan anual. En ella participarán el sistema de Seguridad y protección del CAP acompañados</w:t>
      </w:r>
      <w:r w:rsidR="001349A0">
        <w:rPr>
          <w:rFonts w:ascii="Arial" w:hAnsi="Arial" w:cs="Arial"/>
          <w:sz w:val="24"/>
          <w:szCs w:val="24"/>
        </w:rPr>
        <w:t xml:space="preserve"> de: SEPCAP, DIS, MININT,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 miembros de las Comisiones para atender las actividades recreativas. Se utilizará transporte colectivo que saldrá a las 8:00 p.m. para el Municipio o Dirección escogida, al frente de este equipo irá un miembro de la Oficina de Seguridad y Protección del CAP.</w:t>
      </w:r>
    </w:p>
    <w:p w:rsidR="00D05EC4" w:rsidRDefault="00D05EC4" w:rsidP="00D05EC4">
      <w:pPr>
        <w:pStyle w:val="Prrafodelista"/>
        <w:spacing w:line="200" w:lineRule="atLeast"/>
        <w:rPr>
          <w:rFonts w:ascii="Arial" w:hAnsi="Arial" w:cs="Arial"/>
          <w:sz w:val="24"/>
          <w:szCs w:val="24"/>
        </w:rPr>
      </w:pPr>
    </w:p>
    <w:p w:rsidR="00D05EC4" w:rsidRDefault="00D05EC4" w:rsidP="00D05EC4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Proponemos como  responsable  de este equipo, al Jefe de Seguridad y Protección del CAP quien  se trasladará de manera independiente al municipio o la entidad objeto de control, procurando llegar al menos con una hora de antelación para poner en conocimiento a las autoridades comprometidas, estableciendo el procedimiento que permita cumplir con la planificación intencionada.</w:t>
      </w:r>
    </w:p>
    <w:p w:rsidR="00D05EC4" w:rsidRDefault="00D05EC4" w:rsidP="00D05EC4">
      <w:pPr>
        <w:pStyle w:val="Prrafodelista"/>
        <w:spacing w:line="200" w:lineRule="atLeast"/>
        <w:ind w:left="0"/>
        <w:jc w:val="both"/>
        <w:rPr>
          <w:rFonts w:ascii="Arial" w:hAnsi="Arial" w:cs="Arial"/>
          <w:sz w:val="24"/>
          <w:szCs w:val="24"/>
        </w:rPr>
      </w:pPr>
    </w:p>
    <w:p w:rsidR="00D05EC4" w:rsidRDefault="00D05EC4" w:rsidP="00D05EC4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Los resultados de este control, antes de ser sometidos a las conclusiones,  deberán ser analizados previo acuerdo con las autoridades del territorio y entidades provinciales. Las evidencias serán editadas y aprobadas por el Vicepresidente responsable del control antes de ser socializadas.</w:t>
      </w:r>
    </w:p>
    <w:p w:rsidR="00D05EC4" w:rsidRDefault="00D05EC4" w:rsidP="00D05EC4">
      <w:pPr>
        <w:pStyle w:val="Prrafodelista"/>
        <w:spacing w:line="200" w:lineRule="atLeast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pStyle w:val="Prrafodelista"/>
        <w:numPr>
          <w:ilvl w:val="0"/>
          <w:numId w:val="1"/>
        </w:num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La Secretaría de la Asamblea confecciona un informe general de los C/P visitados,   que se presenta en las conclusiones de la visita,  reflejando la información escrita entregada por  el responsable de la comisión que visitó  cada consejo.</w:t>
      </w:r>
    </w:p>
    <w:p w:rsidR="00D05EC4" w:rsidRDefault="00D05EC4" w:rsidP="00D05EC4">
      <w:pPr>
        <w:pStyle w:val="Prrafodelista"/>
        <w:spacing w:line="200" w:lineRule="atLeast"/>
        <w:ind w:left="1211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Los vicepresidentes, jefes de comisiones, funcionarios y directores participantes en la visita, despacharan el resultado de los objetivos evaluados con los responsables directos en el territorio( esto será con vicepresidentes de CAM, directores de entidades, funcionarios, </w:t>
      </w:r>
      <w:proofErr w:type="spellStart"/>
      <w:r>
        <w:rPr>
          <w:rFonts w:ascii="Arial" w:hAnsi="Arial" w:cs="Arial"/>
          <w:sz w:val="24"/>
          <w:szCs w:val="24"/>
          <w:lang w:val="es-ES"/>
        </w:rPr>
        <w:t>etc</w:t>
      </w:r>
      <w:proofErr w:type="spellEnd"/>
      <w:r>
        <w:rPr>
          <w:rFonts w:ascii="Arial" w:hAnsi="Arial" w:cs="Arial"/>
          <w:sz w:val="24"/>
          <w:szCs w:val="24"/>
          <w:lang w:val="es-ES"/>
        </w:rPr>
        <w:t>,)</w:t>
      </w:r>
    </w:p>
    <w:p w:rsidR="00D05EC4" w:rsidRDefault="00D05EC4" w:rsidP="00D05EC4">
      <w:pPr>
        <w:pStyle w:val="Prrafodelista"/>
        <w:numPr>
          <w:ilvl w:val="0"/>
          <w:numId w:val="3"/>
        </w:numPr>
        <w:spacing w:line="200" w:lineRule="atLeast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El resumen en el municipio se iniciará a la 1.30 pm, con la Dirección de la Asamblea y el CAM, analizando las principales incidencias detectadas y sus causas,  evaluando la integridad en el trabajo. </w:t>
      </w:r>
    </w:p>
    <w:p w:rsidR="00D05EC4" w:rsidRDefault="00D05EC4" w:rsidP="00D05EC4">
      <w:pPr>
        <w:pStyle w:val="Prrafodelista"/>
        <w:spacing w:line="200" w:lineRule="atLeast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pStyle w:val="Prrafodelista"/>
        <w:spacing w:line="200" w:lineRule="atLeast"/>
        <w:ind w:left="1211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pStyle w:val="Prrafodelista"/>
        <w:spacing w:line="200" w:lineRule="atLeast"/>
        <w:ind w:left="0"/>
        <w:jc w:val="both"/>
        <w:rPr>
          <w:rFonts w:ascii="Arial" w:hAnsi="Arial" w:cs="Arial"/>
          <w:sz w:val="24"/>
          <w:szCs w:val="24"/>
          <w:lang w:val="es-ES"/>
        </w:rPr>
      </w:pPr>
    </w:p>
    <w:p w:rsidR="00D05EC4" w:rsidRDefault="00D05EC4" w:rsidP="00D05EC4">
      <w:pPr>
        <w:pStyle w:val="Prrafodelista"/>
        <w:rPr>
          <w:lang w:val="es-ES"/>
        </w:rPr>
      </w:pPr>
    </w:p>
    <w:p w:rsidR="00332D32" w:rsidRPr="000D1A41" w:rsidRDefault="000D1A41">
      <w:pPr>
        <w:rPr>
          <w:rFonts w:ascii="Arial" w:hAnsi="Arial" w:cs="Arial"/>
          <w:sz w:val="24"/>
          <w:szCs w:val="24"/>
        </w:rPr>
      </w:pPr>
      <w:r w:rsidRPr="000D1A41">
        <w:rPr>
          <w:rFonts w:ascii="Arial" w:hAnsi="Arial" w:cs="Arial"/>
          <w:sz w:val="24"/>
          <w:szCs w:val="24"/>
        </w:rPr>
        <w:t>Ernesto Barreto Castillo</w:t>
      </w:r>
    </w:p>
    <w:p w:rsidR="000D1A41" w:rsidRPr="000D1A41" w:rsidRDefault="000D1A41">
      <w:pPr>
        <w:rPr>
          <w:rFonts w:ascii="Arial" w:hAnsi="Arial" w:cs="Arial"/>
          <w:sz w:val="24"/>
          <w:szCs w:val="24"/>
        </w:rPr>
      </w:pPr>
      <w:r w:rsidRPr="000D1A41">
        <w:rPr>
          <w:rFonts w:ascii="Arial" w:hAnsi="Arial" w:cs="Arial"/>
          <w:sz w:val="24"/>
          <w:szCs w:val="24"/>
        </w:rPr>
        <w:t>Presidente</w:t>
      </w:r>
    </w:p>
    <w:sectPr w:rsidR="000D1A41" w:rsidRPr="000D1A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C9" w:rsidRDefault="00E96EC9">
      <w:pPr>
        <w:spacing w:after="0" w:line="240" w:lineRule="auto"/>
      </w:pPr>
      <w:r>
        <w:separator/>
      </w:r>
    </w:p>
  </w:endnote>
  <w:endnote w:type="continuationSeparator" w:id="0">
    <w:p w:rsidR="00E96EC9" w:rsidRDefault="00E9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5D" w:rsidRDefault="00E96EC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5D" w:rsidRDefault="00E96EC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5D" w:rsidRDefault="00E96EC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C9" w:rsidRDefault="00E96EC9">
      <w:pPr>
        <w:spacing w:after="0" w:line="240" w:lineRule="auto"/>
      </w:pPr>
      <w:r>
        <w:separator/>
      </w:r>
    </w:p>
  </w:footnote>
  <w:footnote w:type="continuationSeparator" w:id="0">
    <w:p w:rsidR="00E96EC9" w:rsidRDefault="00E9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5D" w:rsidRDefault="00D05EC4">
    <w:pPr>
      <w:pStyle w:val="Encabezado"/>
      <w:jc w:val="right"/>
    </w:pPr>
    <w:r>
      <w:fldChar w:fldCharType="begin"/>
    </w:r>
    <w:r>
      <w:instrText xml:space="preserve"> PAGE </w:instrText>
    </w:r>
    <w:r>
      <w:fldChar w:fldCharType="separate"/>
    </w:r>
    <w:r w:rsidR="001349A0">
      <w:rPr>
        <w:noProof/>
      </w:rPr>
      <w:t>3</w:t>
    </w:r>
    <w:r>
      <w:fldChar w:fldCharType="end"/>
    </w:r>
  </w:p>
  <w:p w:rsidR="00503E5D" w:rsidRDefault="00E96E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E5D" w:rsidRDefault="00E96E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Arial"/>
        <w:b/>
      </w:r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Arial" w:hAnsi="Arial" w:cs="Aria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52"/>
    <w:rsid w:val="000D1A41"/>
    <w:rsid w:val="001349A0"/>
    <w:rsid w:val="002225FB"/>
    <w:rsid w:val="00344336"/>
    <w:rsid w:val="003F4E11"/>
    <w:rsid w:val="0065654A"/>
    <w:rsid w:val="00750B55"/>
    <w:rsid w:val="00883122"/>
    <w:rsid w:val="00A666E6"/>
    <w:rsid w:val="00AB765D"/>
    <w:rsid w:val="00CF1C54"/>
    <w:rsid w:val="00D05EC4"/>
    <w:rsid w:val="00E96EC9"/>
    <w:rsid w:val="00F5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6C60D0-0363-481D-A78D-AA7AAE257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EC4"/>
    <w:pPr>
      <w:suppressAutoHyphens/>
    </w:pPr>
    <w:rPr>
      <w:rFonts w:ascii="Calibri" w:eastAsia="Calibri" w:hAnsi="Calibri" w:cs="Times New Roman"/>
      <w:lang w:val="es-MX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D05EC4"/>
    <w:pPr>
      <w:ind w:left="720"/>
      <w:contextualSpacing/>
    </w:pPr>
  </w:style>
  <w:style w:type="paragraph" w:styleId="Sinespaciado">
    <w:name w:val="No Spacing"/>
    <w:qFormat/>
    <w:rsid w:val="00D05EC4"/>
    <w:pPr>
      <w:suppressAutoHyphens/>
      <w:spacing w:after="0" w:line="240" w:lineRule="auto"/>
    </w:pPr>
    <w:rPr>
      <w:rFonts w:ascii="Calibri" w:eastAsia="Calibri" w:hAnsi="Calibri" w:cs="Times New Roman"/>
      <w:lang w:val="es-MX" w:eastAsia="zh-CN"/>
    </w:rPr>
  </w:style>
  <w:style w:type="paragraph" w:styleId="Encabezado">
    <w:name w:val="header"/>
    <w:basedOn w:val="Normal"/>
    <w:link w:val="EncabezadoCar"/>
    <w:rsid w:val="00D05E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05EC4"/>
    <w:rPr>
      <w:rFonts w:ascii="Calibri" w:eastAsia="Calibri" w:hAnsi="Calibri" w:cs="Times New Roman"/>
      <w:lang w:val="es-MX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5FB"/>
    <w:rPr>
      <w:rFonts w:ascii="Tahoma" w:eastAsia="Calibri" w:hAnsi="Tahoma" w:cs="Tahoma"/>
      <w:sz w:val="16"/>
      <w:szCs w:val="16"/>
      <w:lang w:val="es-MX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894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Quiñones González</dc:creator>
  <cp:keywords/>
  <dc:description/>
  <cp:lastModifiedBy>Osvaldo Quiñonez González</cp:lastModifiedBy>
  <cp:revision>7</cp:revision>
  <cp:lastPrinted>2015-02-04T22:34:00Z</cp:lastPrinted>
  <dcterms:created xsi:type="dcterms:W3CDTF">2015-02-03T17:26:00Z</dcterms:created>
  <dcterms:modified xsi:type="dcterms:W3CDTF">2018-03-15T16:56:00Z</dcterms:modified>
</cp:coreProperties>
</file>